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p>
    <w:tbl>
      <w:tblPr>
        <w:tblpPr w:bottomFromText="0" w:horzAnchor="margin" w:leftFromText="141" w:rightFromText="141" w:tblpX="0" w:tblpXSpec="center" w:tblpY="1045" w:topFromText="0" w:vertAnchor="page"/>
        <w:tblW w:w="15887" w:type="dxa"/>
        <w:jc w:val="center"/>
        <w:tblInd w:w="0" w:type="dxa"/>
        <w:tblLayout w:type="fixed"/>
        <w:tblCellMar>
          <w:top w:w="72" w:type="dxa"/>
          <w:left w:w="144" w:type="dxa"/>
          <w:bottom w:w="72" w:type="dxa"/>
          <w:right w:w="144" w:type="dxa"/>
        </w:tblCellMar>
        <w:tblLook w:firstRow="1" w:noVBand="1" w:lastRow="0" w:firstColumn="0" w:lastColumn="0" w:noHBand="0" w:val="0420"/>
      </w:tblPr>
      <w:tblGrid>
        <w:gridCol w:w="5223"/>
        <w:gridCol w:w="307"/>
        <w:gridCol w:w="6675"/>
        <w:gridCol w:w="3667"/>
        <w:gridCol w:w="14"/>
      </w:tblGrid>
      <w:tr>
        <w:trPr>
          <w:trHeight w:val="18" w:hRule="atLeast"/>
        </w:trPr>
        <w:tc>
          <w:tcPr>
            <w:tcW w:w="15872" w:type="dxa"/>
            <w:gridSpan w:val="4"/>
            <w:tcBorders>
              <w:top w:val="single" w:sz="8" w:space="0" w:color="FFFFFF"/>
              <w:left w:val="single" w:sz="8" w:space="0" w:color="FFFFFF"/>
              <w:bottom w:val="single" w:sz="24" w:space="0" w:color="FFFFFF"/>
              <w:right w:val="single" w:sz="8" w:space="0" w:color="FFFFFF"/>
            </w:tcBorders>
            <w:shd w:color="auto" w:fill="90C226" w:val="clear"/>
          </w:tcPr>
          <w:p>
            <w:pPr>
              <w:pStyle w:val="Normal"/>
              <w:widowControl w:val="false"/>
              <w:spacing w:before="0" w:after="160"/>
              <w:rPr>
                <w:b/>
                <w:b/>
                <w:bCs/>
                <w:sz w:val="24"/>
                <w:szCs w:val="24"/>
              </w:rPr>
            </w:pPr>
            <w:r>
              <w:rPr>
                <w:b/>
                <w:bCs/>
                <w:sz w:val="24"/>
                <w:szCs w:val="24"/>
              </w:rPr>
              <w:t>Denominazione Ente:_____________________________ Nominativo Referente:__________________________ Contatti:______________________________</w:t>
            </w:r>
          </w:p>
        </w:tc>
        <w:tc>
          <w:tcPr>
            <w:tcW w:w="14" w:type="dxa"/>
            <w:tcBorders/>
          </w:tcPr>
          <w:p>
            <w:pPr>
              <w:pStyle w:val="Normal"/>
              <w:widowControl w:val="false"/>
              <w:spacing w:before="0" w:after="160"/>
              <w:rPr/>
            </w:pPr>
            <w:r>
              <w:rPr/>
            </w:r>
          </w:p>
        </w:tc>
      </w:tr>
      <w:tr>
        <w:trPr>
          <w:trHeight w:val="277" w:hRule="atLeast"/>
        </w:trPr>
        <w:tc>
          <w:tcPr>
            <w:tcW w:w="5223" w:type="dxa"/>
            <w:tcBorders>
              <w:top w:val="single" w:sz="8" w:space="0" w:color="FFFFFF"/>
              <w:left w:val="single" w:sz="8" w:space="0" w:color="FFFFFF"/>
              <w:bottom w:val="single" w:sz="24" w:space="0" w:color="FFFFFF"/>
              <w:right w:val="single" w:sz="8" w:space="0" w:color="FFFFFF"/>
            </w:tcBorders>
            <w:shd w:color="auto" w:fill="90C226" w:val="clear"/>
          </w:tcPr>
          <w:p>
            <w:pPr>
              <w:pStyle w:val="Normal"/>
              <w:widowControl w:val="false"/>
              <w:spacing w:before="0" w:after="160"/>
              <w:rPr>
                <w:sz w:val="24"/>
                <w:szCs w:val="24"/>
              </w:rPr>
            </w:pPr>
            <w:r>
              <w:rPr>
                <w:b/>
                <w:bCs/>
                <w:sz w:val="24"/>
                <w:szCs w:val="24"/>
              </w:rPr>
              <w:t>Ambiti di intervento</w:t>
            </w:r>
          </w:p>
        </w:tc>
        <w:tc>
          <w:tcPr>
            <w:tcW w:w="307" w:type="dxa"/>
            <w:tcBorders>
              <w:top w:val="single" w:sz="8" w:space="0" w:color="FFFFFF"/>
              <w:left w:val="single" w:sz="8" w:space="0" w:color="FFFFFF"/>
              <w:bottom w:val="single" w:sz="24" w:space="0" w:color="FFFFFF"/>
              <w:right w:val="single" w:sz="8" w:space="0" w:color="FFFFFF"/>
            </w:tcBorders>
            <w:shd w:color="auto" w:fill="90C226" w:val="clear"/>
          </w:tcPr>
          <w:p>
            <w:pPr>
              <w:pStyle w:val="Normal"/>
              <w:widowControl w:val="false"/>
              <w:spacing w:before="0" w:after="160"/>
              <w:rPr>
                <w:b/>
                <w:b/>
                <w:bCs/>
                <w:sz w:val="24"/>
                <w:szCs w:val="24"/>
              </w:rPr>
            </w:pPr>
            <w:r>
              <w:rPr>
                <w:b/>
                <w:bCs/>
                <w:sz w:val="24"/>
                <w:szCs w:val="24"/>
              </w:rPr>
            </w:r>
          </w:p>
        </w:tc>
        <w:tc>
          <w:tcPr>
            <w:tcW w:w="6675" w:type="dxa"/>
            <w:tcBorders>
              <w:top w:val="single" w:sz="8" w:space="0" w:color="FFFFFF"/>
              <w:left w:val="single" w:sz="8" w:space="0" w:color="FFFFFF"/>
              <w:bottom w:val="single" w:sz="24" w:space="0" w:color="FFFFFF"/>
              <w:right w:val="single" w:sz="8" w:space="0" w:color="FFFFFF"/>
            </w:tcBorders>
            <w:shd w:color="auto" w:fill="90C226" w:val="clear"/>
          </w:tcPr>
          <w:p>
            <w:pPr>
              <w:pStyle w:val="Normal"/>
              <w:widowControl w:val="false"/>
              <w:spacing w:before="0" w:after="160"/>
              <w:rPr>
                <w:sz w:val="24"/>
                <w:szCs w:val="24"/>
              </w:rPr>
            </w:pPr>
            <w:r>
              <w:rPr>
                <w:b/>
                <w:bCs/>
                <w:sz w:val="24"/>
                <w:szCs w:val="24"/>
              </w:rPr>
              <w:t>Le proposte</w:t>
            </w:r>
          </w:p>
        </w:tc>
        <w:tc>
          <w:tcPr>
            <w:tcW w:w="3681" w:type="dxa"/>
            <w:gridSpan w:val="2"/>
            <w:tcBorders>
              <w:top w:val="single" w:sz="8" w:space="0" w:color="FFFFFF"/>
              <w:left w:val="single" w:sz="8" w:space="0" w:color="FFFFFF"/>
              <w:bottom w:val="single" w:sz="24" w:space="0" w:color="FFFFFF"/>
              <w:right w:val="single" w:sz="8" w:space="0" w:color="FFFFFF"/>
            </w:tcBorders>
            <w:shd w:color="auto" w:fill="90C226" w:val="clear"/>
          </w:tcPr>
          <w:p>
            <w:pPr>
              <w:pStyle w:val="Normal"/>
              <w:widowControl w:val="false"/>
              <w:spacing w:before="0" w:after="160"/>
              <w:rPr>
                <w:sz w:val="24"/>
                <w:szCs w:val="24"/>
              </w:rPr>
            </w:pPr>
            <w:r>
              <w:rPr>
                <w:b/>
                <w:bCs/>
                <w:sz w:val="24"/>
                <w:szCs w:val="24"/>
              </w:rPr>
              <w:t>Altri servizi richiesti</w:t>
            </w:r>
            <w:bookmarkStart w:id="0" w:name="_Hlk43129209"/>
            <w:bookmarkEnd w:id="0"/>
          </w:p>
        </w:tc>
      </w:tr>
      <w:tr>
        <w:trPr>
          <w:trHeight w:val="683" w:hRule="atLeast"/>
        </w:trPr>
        <w:tc>
          <w:tcPr>
            <w:tcW w:w="5223" w:type="dxa"/>
            <w:tcBorders>
              <w:top w:val="single" w:sz="24" w:space="0" w:color="FFFFFF"/>
              <w:left w:val="single" w:sz="8" w:space="0" w:color="FFFFFF"/>
              <w:bottom w:val="single" w:sz="8" w:space="0" w:color="FFFFFF"/>
              <w:right w:val="single" w:sz="8" w:space="0" w:color="FFFFFF"/>
            </w:tcBorders>
            <w:shd w:color="auto" w:fill="DBE9CD" w:val="clear"/>
          </w:tcPr>
          <w:p>
            <w:pPr>
              <w:pStyle w:val="ListParagraph"/>
              <w:widowControl w:val="false"/>
              <w:numPr>
                <w:ilvl w:val="0"/>
                <w:numId w:val="1"/>
              </w:numPr>
              <w:spacing w:before="0" w:after="200"/>
              <w:contextualSpacing/>
              <w:jc w:val="both"/>
              <w:rPr>
                <w:sz w:val="24"/>
                <w:szCs w:val="24"/>
              </w:rPr>
            </w:pPr>
            <w:r>
              <w:rPr>
                <w:b/>
                <w:bCs/>
                <w:sz w:val="24"/>
                <w:szCs w:val="24"/>
              </w:rPr>
              <w:t xml:space="preserve">1. </w:t>
            </w:r>
            <w:r>
              <w:rPr>
                <w:rFonts w:ascii="Times New Roman" w:hAnsi="Times New Roman"/>
                <w:sz w:val="24"/>
                <w:szCs w:val="24"/>
              </w:rPr>
              <w:t xml:space="preserve"> Rafforzamento della capacità amministrativa per lo </w:t>
            </w:r>
            <w:r>
              <w:rPr>
                <w:rFonts w:ascii="Times New Roman" w:hAnsi="Times New Roman"/>
                <w:b/>
                <w:sz w:val="24"/>
                <w:szCs w:val="24"/>
              </w:rPr>
              <w:t>smart working</w:t>
            </w:r>
            <w:r>
              <w:rPr>
                <w:rFonts w:ascii="Times New Roman" w:hAnsi="Times New Roman"/>
                <w:sz w:val="24"/>
                <w:szCs w:val="24"/>
              </w:rPr>
              <w:t xml:space="preserve">, anche in risposta alla contingente emergenza sanitaria, intesa come azione formativa abilitante rivolta sia al livello dirigenziale che ai dipendenti dell’amministrazione, per sviluppare e rafforzare le competenze necessarie alla definizione dei </w:t>
            </w:r>
            <w:r>
              <w:rPr>
                <w:rFonts w:ascii="Times New Roman" w:hAnsi="Times New Roman"/>
                <w:b/>
                <w:sz w:val="24"/>
                <w:szCs w:val="24"/>
              </w:rPr>
              <w:t>piani amministrativi di smart working</w:t>
            </w:r>
            <w:r>
              <w:rPr>
                <w:rFonts w:ascii="Times New Roman" w:hAnsi="Times New Roman"/>
                <w:sz w:val="24"/>
                <w:szCs w:val="24"/>
              </w:rPr>
              <w:t xml:space="preserve"> e all’avvio dei </w:t>
            </w:r>
            <w:r>
              <w:rPr>
                <w:rFonts w:ascii="Times New Roman" w:hAnsi="Times New Roman"/>
                <w:b/>
                <w:sz w:val="24"/>
                <w:szCs w:val="24"/>
              </w:rPr>
              <w:t>processi di riorganizzazione necessari ad avviare i progetti di smart working</w:t>
            </w:r>
            <w:r>
              <w:rPr>
                <w:rFonts w:ascii="Times New Roman" w:hAnsi="Times New Roman"/>
                <w:sz w:val="24"/>
                <w:szCs w:val="24"/>
              </w:rPr>
              <w:t>;</w:t>
            </w:r>
          </w:p>
        </w:tc>
        <w:tc>
          <w:tcPr>
            <w:tcW w:w="307" w:type="dxa"/>
            <w:tcBorders>
              <w:top w:val="single" w:sz="24" w:space="0" w:color="FFFFFF"/>
              <w:left w:val="single" w:sz="8" w:space="0" w:color="FFFFFF"/>
              <w:bottom w:val="single" w:sz="8" w:space="0" w:color="FFFFFF"/>
              <w:right w:val="single" w:sz="8" w:space="0" w:color="FFFFFF"/>
            </w:tcBorders>
            <w:shd w:color="auto" w:fill="DBE9CD" w:val="clear"/>
          </w:tcPr>
          <w:p>
            <w:pPr>
              <w:pStyle w:val="Normal"/>
              <w:widowControl w:val="false"/>
              <w:spacing w:before="0" w:after="160"/>
              <w:rPr>
                <w:sz w:val="24"/>
                <w:szCs w:val="24"/>
              </w:rPr>
            </w:pPr>
            <w:r>
              <w:rPr>
                <w:sz w:val="24"/>
                <w:szCs w:val="24"/>
              </w:rPr>
            </w:r>
          </w:p>
        </w:tc>
        <w:tc>
          <w:tcPr>
            <w:tcW w:w="6675" w:type="dxa"/>
            <w:tcBorders>
              <w:top w:val="single" w:sz="24" w:space="0" w:color="FFFFFF"/>
              <w:left w:val="single" w:sz="8" w:space="0" w:color="FFFFFF"/>
              <w:bottom w:val="single" w:sz="8" w:space="0" w:color="FFFFFF"/>
              <w:right w:val="single" w:sz="8" w:space="0" w:color="FFFFFF"/>
            </w:tcBorders>
            <w:shd w:color="auto" w:fill="DBE9CD" w:val="clear"/>
          </w:tcPr>
          <w:p>
            <w:pPr>
              <w:pStyle w:val="Normal"/>
              <w:widowControl w:val="false"/>
              <w:rPr/>
            </w:pPr>
            <w:r>
              <w:rPr/>
              <w:t>Interventi rivolti a due tipologie di soggetti a</w:t>
            </w:r>
          </w:p>
          <w:p>
            <w:pPr>
              <w:pStyle w:val="ListParagraph"/>
              <w:widowControl w:val="false"/>
              <w:numPr>
                <w:ilvl w:val="0"/>
                <w:numId w:val="2"/>
              </w:numPr>
              <w:rPr/>
            </w:pPr>
            <w:r>
              <w:rPr/>
              <w:t xml:space="preserve"> </w:t>
            </w:r>
            <w:r>
              <w:rPr/>
              <w:t xml:space="preserve">Amministratori </w:t>
            </w:r>
            <w:r>
              <w:rPr>
                <w:rFonts w:eastAsia="MS Gothic" w:cs="MS Gothic" w:ascii="MS Gothic" w:hAnsi="MS Gothic"/>
              </w:rPr>
              <w:t>➢</w:t>
            </w:r>
            <w:r>
              <w:rPr/>
              <w:t xml:space="preserve"> Intervento per lo svolgimento delle sedute consiliari e di giunta da remoto, con tutti i componenti del Consiglio Comunale collegati tra loro, come se fossero presenti in Aula. Nel servizio bisogna prioritariamente comprendere una diretta streaming in grado di garantire il criterio di pubblicità previsto per tale tipologia di incontri.</w:t>
            </w:r>
          </w:p>
          <w:p>
            <w:pPr>
              <w:pStyle w:val="ListParagraph"/>
              <w:widowControl w:val="false"/>
              <w:numPr>
                <w:ilvl w:val="0"/>
                <w:numId w:val="2"/>
              </w:numPr>
              <w:rPr/>
            </w:pPr>
            <w:r>
              <w:rPr/>
              <w:t xml:space="preserve">Personale dipendente  </w:t>
            </w:r>
            <w:r>
              <w:rPr>
                <w:rFonts w:eastAsia="MS Gothic" w:cs="MS Gothic" w:ascii="MS Gothic" w:hAnsi="MS Gothic"/>
              </w:rPr>
              <w:t>➢</w:t>
            </w:r>
            <w:r>
              <w:rPr/>
              <w:t xml:space="preserve"> Intervento per la riorganizzazione in modo smart delle attività dell’Ente, attraverso 4 macro obiettivi che possono essere ricondotti a: – valorizzazione e professionalizzazione delle risorse umane attraverso una maggiore responsabilizzazione nella pianificazione del proprio lavoro; – ampliamento dei servizi verso l’utenza creando nuovi servizi online e delle modalità di accesso semplificando le modalità di fruizione e aumentando i canali di erogazione; – informatizzazione e semplificazione delle procedure; – razionalizzazione degli spazi e miglioramento delle dotazioni informatiche</w:t>
            </w:r>
          </w:p>
          <w:p>
            <w:pPr>
              <w:pStyle w:val="Normal"/>
              <w:widowControl w:val="false"/>
              <w:spacing w:before="0" w:after="160"/>
              <w:rPr/>
            </w:pPr>
            <w:r>
              <w:rPr/>
            </w:r>
          </w:p>
        </w:tc>
        <w:tc>
          <w:tcPr>
            <w:tcW w:w="3681" w:type="dxa"/>
            <w:gridSpan w:val="2"/>
            <w:tcBorders>
              <w:top w:val="single" w:sz="24" w:space="0" w:color="FFFFFF"/>
              <w:left w:val="single" w:sz="8" w:space="0" w:color="FFFFFF"/>
              <w:bottom w:val="single" w:sz="8" w:space="0" w:color="FFFFFF"/>
              <w:right w:val="single" w:sz="8" w:space="0" w:color="FFFFFF"/>
            </w:tcBorders>
            <w:shd w:color="auto" w:fill="DBE9CD" w:val="clear"/>
          </w:tcPr>
          <w:p>
            <w:pPr>
              <w:pStyle w:val="Normal"/>
              <w:widowControl w:val="false"/>
              <w:rPr>
                <w:rFonts w:ascii="MS Gothic" w:hAnsi="MS Gothic" w:eastAsia="MS Gothic"/>
              </w:rPr>
            </w:pPr>
            <w:sdt>
              <w:sdtPr>
                <w14:checkbox>
                  <w14:checked w:val="1"/>
                  <w14:checkedState w:val="2612"/>
                  <w14:uncheckedState w:val="2610"/>
                </w14:checkbox>
              </w:sdtPr>
              <w:sdtContent>
                <w:r>
                  <w:rPr>
                    <w:rFonts w:eastAsia="MS Gothic" w:ascii="MS Gothic" w:hAnsi="MS Gothic"/>
                  </w:rPr>
                  <w:t>☐</w:t>
                </w:r>
              </w:sdtContent>
            </w:sdt>
            <w:r>
              <w:rPr>
                <w:rFonts w:eastAsia="MS Gothic" w:ascii="MS Gothic" w:hAnsi="MS Gothic"/>
              </w:rPr>
              <w:t>__________________________</w:t>
            </w:r>
          </w:p>
          <w:p>
            <w:pPr>
              <w:pStyle w:val="Normal"/>
              <w:widowControl w:val="false"/>
              <w:rPr/>
            </w:pPr>
            <w:r>
              <w:rPr/>
              <w:t>____________________________</w:t>
            </w:r>
          </w:p>
          <w:p>
            <w:pPr>
              <w:pStyle w:val="Normal"/>
              <w:widowControl w:val="false"/>
              <w:spacing w:before="0" w:after="160"/>
              <w:rPr/>
            </w:pPr>
            <w:r>
              <w:rPr/>
              <w:t>____________________________</w:t>
            </w:r>
          </w:p>
        </w:tc>
      </w:tr>
      <w:tr>
        <w:trPr>
          <w:trHeight w:val="683" w:hRule="atLeast"/>
        </w:trPr>
        <w:tc>
          <w:tcPr>
            <w:tcW w:w="5223" w:type="dxa"/>
            <w:tcBorders>
              <w:top w:val="single" w:sz="8" w:space="0" w:color="FFFFFF"/>
              <w:left w:val="single" w:sz="8" w:space="0" w:color="FFFFFF"/>
              <w:bottom w:val="single" w:sz="8" w:space="0" w:color="FFFFFF"/>
              <w:right w:val="single" w:sz="8" w:space="0" w:color="FFFFFF"/>
            </w:tcBorders>
            <w:shd w:color="auto" w:fill="EEF4E8" w:val="clear"/>
          </w:tcPr>
          <w:p>
            <w:pPr>
              <w:pStyle w:val="ListParagraph"/>
              <w:widowControl w:val="false"/>
              <w:numPr>
                <w:ilvl w:val="0"/>
                <w:numId w:val="1"/>
              </w:numPr>
              <w:jc w:val="both"/>
              <w:rPr>
                <w:rFonts w:ascii="Times New Roman" w:hAnsi="Times New Roman"/>
                <w:sz w:val="24"/>
                <w:szCs w:val="24"/>
              </w:rPr>
            </w:pPr>
            <w:r>
              <w:rPr>
                <w:b/>
                <w:bCs/>
                <w:sz w:val="24"/>
                <w:szCs w:val="24"/>
              </w:rPr>
              <w:t>2</w:t>
            </w:r>
            <w:r>
              <w:rPr>
                <w:rFonts w:ascii="Times New Roman" w:hAnsi="Times New Roman"/>
                <w:sz w:val="24"/>
                <w:szCs w:val="24"/>
              </w:rPr>
              <w:t xml:space="preserve"> Rafforzamento della capacità amministrativa con particolare riferimento alle materie del </w:t>
            </w:r>
            <w:r>
              <w:rPr>
                <w:rFonts w:ascii="Times New Roman" w:hAnsi="Times New Roman"/>
                <w:b/>
                <w:sz w:val="24"/>
                <w:szCs w:val="24"/>
              </w:rPr>
              <w:t>bilancio</w:t>
            </w:r>
            <w:r>
              <w:rPr>
                <w:rFonts w:ascii="Times New Roman" w:hAnsi="Times New Roman"/>
                <w:sz w:val="24"/>
                <w:szCs w:val="24"/>
              </w:rPr>
              <w:t xml:space="preserve">, della </w:t>
            </w:r>
            <w:r>
              <w:rPr>
                <w:rFonts w:ascii="Times New Roman" w:hAnsi="Times New Roman"/>
                <w:b/>
                <w:sz w:val="24"/>
                <w:szCs w:val="24"/>
              </w:rPr>
              <w:t>contabilità</w:t>
            </w:r>
            <w:r>
              <w:rPr>
                <w:rFonts w:ascii="Times New Roman" w:hAnsi="Times New Roman"/>
                <w:sz w:val="24"/>
                <w:szCs w:val="24"/>
              </w:rPr>
              <w:t xml:space="preserve">, della </w:t>
            </w:r>
            <w:r>
              <w:rPr>
                <w:rFonts w:ascii="Times New Roman" w:hAnsi="Times New Roman"/>
                <w:b/>
                <w:sz w:val="24"/>
                <w:szCs w:val="24"/>
              </w:rPr>
              <w:t>gestione personale</w:t>
            </w:r>
            <w:r>
              <w:rPr>
                <w:rFonts w:ascii="Times New Roman" w:hAnsi="Times New Roman"/>
                <w:sz w:val="24"/>
                <w:szCs w:val="24"/>
              </w:rPr>
              <w:t xml:space="preserve"> e della </w:t>
            </w:r>
            <w:r>
              <w:rPr>
                <w:rFonts w:ascii="Times New Roman" w:hAnsi="Times New Roman"/>
                <w:b/>
                <w:sz w:val="24"/>
                <w:szCs w:val="24"/>
              </w:rPr>
              <w:t>riscossione dei tributi</w:t>
            </w:r>
            <w:r>
              <w:rPr>
                <w:rFonts w:ascii="Times New Roman" w:hAnsi="Times New Roman"/>
                <w:sz w:val="24"/>
                <w:szCs w:val="24"/>
              </w:rPr>
              <w:t xml:space="preserve"> anche </w:t>
            </w:r>
            <w:r>
              <w:rPr>
                <w:rFonts w:ascii="Times New Roman" w:hAnsi="Times New Roman"/>
                <w:b/>
                <w:sz w:val="24"/>
                <w:szCs w:val="24"/>
              </w:rPr>
              <w:t xml:space="preserve">attraverso nuove piattaforme digitali </w:t>
            </w:r>
            <w:r>
              <w:rPr>
                <w:rFonts w:ascii="Times New Roman" w:hAnsi="Times New Roman"/>
                <w:sz w:val="24"/>
                <w:szCs w:val="24"/>
              </w:rPr>
              <w:t>(ad esempio adesione alla piattaforma Pago PA);</w:t>
            </w:r>
          </w:p>
          <w:p>
            <w:pPr>
              <w:pStyle w:val="Normal"/>
              <w:widowControl w:val="false"/>
              <w:spacing w:before="0" w:after="160"/>
              <w:rPr>
                <w:sz w:val="24"/>
                <w:szCs w:val="24"/>
              </w:rPr>
            </w:pPr>
            <w:r>
              <w:rPr>
                <w:sz w:val="24"/>
                <w:szCs w:val="24"/>
              </w:rPr>
            </w:r>
          </w:p>
        </w:tc>
        <w:tc>
          <w:tcPr>
            <w:tcW w:w="307" w:type="dxa"/>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spacing w:before="0" w:after="160"/>
              <w:rPr>
                <w:sz w:val="24"/>
                <w:szCs w:val="24"/>
              </w:rPr>
            </w:pPr>
            <w:r>
              <w:rPr>
                <w:sz w:val="24"/>
                <w:szCs w:val="24"/>
              </w:rPr>
            </w:r>
          </w:p>
        </w:tc>
        <w:tc>
          <w:tcPr>
            <w:tcW w:w="6675" w:type="dxa"/>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rPr/>
            </w:pPr>
            <w:r>
              <w:rPr/>
              <w:t>Si propongono i seguenti interventi:</w:t>
            </w:r>
          </w:p>
          <w:p>
            <w:pPr>
              <w:pStyle w:val="Normal"/>
              <w:widowControl w:val="false"/>
              <w:rPr/>
            </w:pPr>
            <w:r>
              <w:rPr/>
              <w:t xml:space="preserve">• </w:t>
            </w:r>
            <w:r>
              <w:rPr/>
              <w:t>una piattaforma in grado di attivare tutti i servizi di pagamento esposti dall’Ente;</w:t>
            </w:r>
          </w:p>
          <w:p>
            <w:pPr>
              <w:pStyle w:val="Normal"/>
              <w:widowControl w:val="false"/>
              <w:rPr/>
            </w:pPr>
            <w:r>
              <w:rPr/>
              <w:t xml:space="preserve">• </w:t>
            </w:r>
            <w:r>
              <w:rPr/>
              <w:t>formazione, supporto e assistenza al personale coinvolto;</w:t>
            </w:r>
          </w:p>
          <w:p>
            <w:pPr>
              <w:pStyle w:val="Normal"/>
              <w:widowControl w:val="false"/>
              <w:rPr/>
            </w:pPr>
            <w:r>
              <w:rPr/>
              <w:t xml:space="preserve">• </w:t>
            </w:r>
            <w:r>
              <w:rPr/>
              <w:t>devices in grado di ampliare i canali di pagamento con il pagoPA, come i POS abilitati con il pagoPA;</w:t>
            </w:r>
          </w:p>
          <w:p>
            <w:pPr>
              <w:pStyle w:val="Normal"/>
              <w:widowControl w:val="false"/>
              <w:rPr/>
            </w:pPr>
            <w:r>
              <w:rPr/>
              <w:t xml:space="preserve">• </w:t>
            </w:r>
            <w:r>
              <w:rPr/>
              <w:t>integrazione con i gestionali in uso per facilitare l’operatività dei funzionari della ragioneria.</w:t>
            </w:r>
          </w:p>
          <w:p>
            <w:pPr>
              <w:pStyle w:val="Normal"/>
              <w:widowControl w:val="false"/>
              <w:spacing w:before="0" w:after="160"/>
              <w:rPr>
                <w:u w:val="single"/>
              </w:rPr>
            </w:pPr>
            <w:r>
              <w:rPr>
                <w:u w:val="single"/>
              </w:rPr>
            </w:r>
          </w:p>
        </w:tc>
        <w:tc>
          <w:tcPr>
            <w:tcW w:w="3681" w:type="dxa"/>
            <w:gridSpan w:val="2"/>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rPr>
                <w:rFonts w:ascii="MS Gothic" w:hAnsi="MS Gothic" w:eastAsia="MS Gothic"/>
              </w:rPr>
            </w:pPr>
            <w:sdt>
              <w:sdtPr>
                <w14:checkbox>
                  <w14:checked w:val="1"/>
                  <w14:checkedState w:val="2612"/>
                  <w14:uncheckedState w:val="2610"/>
                </w14:checkbox>
              </w:sdtPr>
              <w:sdtContent>
                <w:r>
                  <w:rPr>
                    <w:rFonts w:eastAsia="MS Gothic" w:ascii="MS Gothic" w:hAnsi="MS Gothic"/>
                  </w:rPr>
                  <w:t>☐</w:t>
                </w:r>
              </w:sdtContent>
            </w:sdt>
            <w:r>
              <w:rPr>
                <w:rFonts w:eastAsia="MS Gothic" w:ascii="MS Gothic" w:hAnsi="MS Gothic"/>
              </w:rPr>
              <w:t>__________________________</w:t>
            </w:r>
          </w:p>
          <w:p>
            <w:pPr>
              <w:pStyle w:val="Normal"/>
              <w:widowControl w:val="false"/>
              <w:spacing w:before="0" w:after="160"/>
              <w:rPr/>
            </w:pPr>
            <w:r>
              <w:rPr/>
              <w:t>____________________________</w:t>
            </w:r>
          </w:p>
        </w:tc>
      </w:tr>
      <w:tr>
        <w:trPr>
          <w:trHeight w:val="890" w:hRule="atLeast"/>
        </w:trPr>
        <w:tc>
          <w:tcPr>
            <w:tcW w:w="5223" w:type="dxa"/>
            <w:tcBorders>
              <w:top w:val="single" w:sz="8" w:space="0" w:color="FFFFFF"/>
              <w:left w:val="single" w:sz="8" w:space="0" w:color="FFFFFF"/>
              <w:bottom w:val="single" w:sz="8" w:space="0" w:color="FFFFFF"/>
              <w:right w:val="single" w:sz="8" w:space="0" w:color="FFFFFF"/>
            </w:tcBorders>
            <w:shd w:color="auto" w:fill="DBE9CD" w:val="clear"/>
          </w:tcPr>
          <w:p>
            <w:pPr>
              <w:pStyle w:val="ListParagraph"/>
              <w:widowControl w:val="false"/>
              <w:numPr>
                <w:ilvl w:val="0"/>
                <w:numId w:val="1"/>
              </w:numPr>
              <w:jc w:val="both"/>
              <w:rPr>
                <w:rFonts w:ascii="Times New Roman" w:hAnsi="Times New Roman"/>
                <w:sz w:val="24"/>
                <w:szCs w:val="24"/>
              </w:rPr>
            </w:pPr>
            <w:r>
              <w:rPr>
                <w:b/>
                <w:bCs/>
                <w:sz w:val="24"/>
                <w:szCs w:val="24"/>
              </w:rPr>
              <w:t xml:space="preserve">3. </w:t>
            </w:r>
            <w:r>
              <w:rPr>
                <w:rFonts w:ascii="Times New Roman" w:hAnsi="Times New Roman"/>
                <w:sz w:val="24"/>
                <w:szCs w:val="24"/>
              </w:rPr>
              <w:t xml:space="preserve"> Sviluppo delle competenze, modelli e format per gli </w:t>
            </w:r>
            <w:r>
              <w:rPr>
                <w:rFonts w:ascii="Times New Roman" w:hAnsi="Times New Roman"/>
                <w:b/>
                <w:sz w:val="24"/>
                <w:szCs w:val="24"/>
              </w:rPr>
              <w:t>acquisti e</w:t>
            </w:r>
            <w:r>
              <w:rPr>
                <w:rFonts w:ascii="Times New Roman" w:hAnsi="Times New Roman"/>
                <w:sz w:val="24"/>
                <w:szCs w:val="24"/>
              </w:rPr>
              <w:t xml:space="preserve">gli </w:t>
            </w:r>
            <w:r>
              <w:rPr>
                <w:rFonts w:ascii="Times New Roman" w:hAnsi="Times New Roman"/>
                <w:b/>
                <w:sz w:val="24"/>
                <w:szCs w:val="24"/>
              </w:rPr>
              <w:t>appalti pubblici</w:t>
            </w:r>
            <w:r>
              <w:rPr>
                <w:rFonts w:ascii="Times New Roman" w:hAnsi="Times New Roman"/>
                <w:sz w:val="24"/>
                <w:szCs w:val="24"/>
              </w:rPr>
              <w:t>, anche in ottica di prevenzione e contrasto della corruzione</w:t>
            </w:r>
            <w:r>
              <w:rPr>
                <w:rFonts w:ascii="Times New Roman" w:hAnsi="Times New Roman"/>
              </w:rPr>
              <w:t xml:space="preserve">, </w:t>
            </w:r>
            <w:r>
              <w:rPr>
                <w:rFonts w:ascii="Times New Roman" w:hAnsi="Times New Roman"/>
                <w:sz w:val="24"/>
                <w:szCs w:val="24"/>
              </w:rPr>
              <w:t xml:space="preserve">e lo sviluppo di competenze nei termini più ampi di </w:t>
            </w:r>
            <w:r>
              <w:rPr>
                <w:rFonts w:ascii="Times New Roman" w:hAnsi="Times New Roman"/>
                <w:b/>
                <w:sz w:val="24"/>
                <w:szCs w:val="24"/>
              </w:rPr>
              <w:t>approcci, interventi e adempimenti in tema di trasparenza, pubblicità e anticorruzione</w:t>
            </w:r>
            <w:r>
              <w:rPr>
                <w:rFonts w:ascii="Times New Roman" w:hAnsi="Times New Roman"/>
                <w:sz w:val="24"/>
                <w:szCs w:val="24"/>
              </w:rPr>
              <w:t>;</w:t>
            </w:r>
          </w:p>
          <w:p>
            <w:pPr>
              <w:pStyle w:val="Normal"/>
              <w:widowControl w:val="false"/>
              <w:spacing w:before="0" w:after="160"/>
              <w:rPr>
                <w:sz w:val="24"/>
                <w:szCs w:val="24"/>
              </w:rPr>
            </w:pPr>
            <w:r>
              <w:rPr>
                <w:sz w:val="24"/>
                <w:szCs w:val="24"/>
              </w:rPr>
            </w:r>
          </w:p>
        </w:tc>
        <w:tc>
          <w:tcPr>
            <w:tcW w:w="307" w:type="dxa"/>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spacing w:before="0" w:after="160"/>
              <w:rPr>
                <w:sz w:val="24"/>
                <w:szCs w:val="24"/>
              </w:rPr>
            </w:pPr>
            <w:r>
              <w:rPr>
                <w:sz w:val="24"/>
                <w:szCs w:val="24"/>
              </w:rPr>
            </w:r>
          </w:p>
        </w:tc>
        <w:tc>
          <w:tcPr>
            <w:tcW w:w="6675" w:type="dxa"/>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rPr>
                <w:rFonts w:ascii="MS Gothic" w:hAnsi="MS Gothic" w:eastAsia="MS Gothic" w:cs="MS Gothic"/>
              </w:rPr>
            </w:pPr>
            <w:r>
              <w:rPr/>
              <w:t>Si propongono i seguenti interventi:</w:t>
            </w:r>
          </w:p>
          <w:p>
            <w:pPr>
              <w:pStyle w:val="Normal"/>
              <w:widowControl w:val="false"/>
              <w:rPr/>
            </w:pPr>
            <w:r>
              <w:rPr>
                <w:rFonts w:eastAsia="MS Gothic" w:cs="MS Gothic" w:ascii="MS Gothic" w:hAnsi="MS Gothic"/>
              </w:rPr>
              <w:t>➢</w:t>
            </w:r>
            <w:r>
              <w:rPr/>
              <w:t xml:space="preserve"> </w:t>
            </w:r>
            <w:r>
              <w:rPr/>
              <w:t>Servizio per la rilevazione dei fabbisogni, strumento di supporto alla programmazione di beni, servizi e lavori pubblici, con funzionalità di precompilazione di dati in funzione delle programmazioni degli anni precedenti. Lo strumento potrà garantire il caricamento automatico dei dati raccolti nelle banche date gestite a livello regionale e/o centrale.</w:t>
            </w:r>
          </w:p>
          <w:p>
            <w:pPr>
              <w:pStyle w:val="Normal"/>
              <w:widowControl w:val="false"/>
              <w:rPr/>
            </w:pPr>
            <w:r>
              <w:rPr>
                <w:rFonts w:eastAsia="MS Gothic" w:cs="MS Gothic" w:ascii="MS Gothic" w:hAnsi="MS Gothic"/>
              </w:rPr>
              <w:t>➢</w:t>
            </w:r>
            <w:r>
              <w:rPr/>
              <w:t xml:space="preserve"> </w:t>
            </w:r>
            <w:r>
              <w:rPr/>
              <w:t>Cruscotto Programmazione Gare, strumento di supporto alle attività ordinarie di Stazioni Appaltanti (Unioni di Comuni ed aggregazioni) relative alla gestione dei processi di aggregazione della domanda.</w:t>
            </w:r>
          </w:p>
          <w:p>
            <w:pPr>
              <w:pStyle w:val="Normal"/>
              <w:widowControl w:val="false"/>
              <w:rPr/>
            </w:pPr>
            <w:r>
              <w:rPr>
                <w:rFonts w:eastAsia="MS Gothic" w:cs="MS Gothic" w:ascii="MS Gothic" w:hAnsi="MS Gothic"/>
              </w:rPr>
              <w:t>➢</w:t>
            </w:r>
            <w:r>
              <w:rPr/>
              <w:t xml:space="preserve"> </w:t>
            </w:r>
            <w:r>
              <w:rPr/>
              <w:t>Tool di monitoraggio delle richieste, strumento di supporto alle attività connesse con il monitoraggio delle forniture, a valle della --------stipula del contratto</w:t>
            </w:r>
          </w:p>
          <w:p>
            <w:pPr>
              <w:pStyle w:val="Normal"/>
              <w:widowControl w:val="false"/>
              <w:spacing w:before="0" w:after="160"/>
              <w:rPr>
                <w:sz w:val="24"/>
                <w:szCs w:val="24"/>
              </w:rPr>
            </w:pPr>
            <w:r>
              <w:rPr>
                <w:sz w:val="24"/>
                <w:szCs w:val="24"/>
              </w:rPr>
            </w:r>
          </w:p>
        </w:tc>
        <w:tc>
          <w:tcPr>
            <w:tcW w:w="3681" w:type="dxa"/>
            <w:gridSpan w:val="2"/>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rPr>
                <w:rFonts w:ascii="MS Gothic" w:hAnsi="MS Gothic" w:eastAsia="MS Gothic"/>
              </w:rPr>
            </w:pPr>
            <w:sdt>
              <w:sdtPr>
                <w14:checkbox>
                  <w14:checked w:val="1"/>
                  <w14:checkedState w:val="2612"/>
                  <w14:uncheckedState w:val="2610"/>
                </w14:checkbox>
              </w:sdtPr>
              <w:sdtContent>
                <w:r>
                  <w:rPr>
                    <w:rFonts w:eastAsia="MS Gothic" w:ascii="MS Gothic" w:hAnsi="MS Gothic"/>
                  </w:rPr>
                  <w:t>☐</w:t>
                </w:r>
              </w:sdtContent>
            </w:sdt>
            <w:r>
              <w:rPr>
                <w:rFonts w:eastAsia="MS Gothic" w:ascii="MS Gothic" w:hAnsi="MS Gothic"/>
              </w:rPr>
              <w:t>__________________________</w:t>
            </w:r>
          </w:p>
          <w:p>
            <w:pPr>
              <w:pStyle w:val="Normal"/>
              <w:widowControl w:val="false"/>
              <w:spacing w:before="0" w:after="160"/>
              <w:rPr/>
            </w:pPr>
            <w:r>
              <w:rPr/>
              <w:t>____________________________</w:t>
            </w:r>
          </w:p>
        </w:tc>
      </w:tr>
      <w:tr>
        <w:trPr>
          <w:trHeight w:val="549" w:hRule="atLeast"/>
        </w:trPr>
        <w:tc>
          <w:tcPr>
            <w:tcW w:w="5223" w:type="dxa"/>
            <w:tcBorders>
              <w:top w:val="single" w:sz="8" w:space="0" w:color="FFFFFF"/>
              <w:left w:val="single" w:sz="8" w:space="0" w:color="FFFFFF"/>
              <w:bottom w:val="single" w:sz="8" w:space="0" w:color="FFFFFF"/>
              <w:right w:val="single" w:sz="8" w:space="0" w:color="FFFFFF"/>
            </w:tcBorders>
            <w:shd w:color="auto" w:fill="EEF4E8" w:val="clear"/>
          </w:tcPr>
          <w:p>
            <w:pPr>
              <w:pStyle w:val="ListParagraph"/>
              <w:widowControl w:val="false"/>
              <w:numPr>
                <w:ilvl w:val="0"/>
                <w:numId w:val="1"/>
              </w:numPr>
              <w:jc w:val="both"/>
              <w:rPr>
                <w:rFonts w:ascii="Times New Roman" w:hAnsi="Times New Roman"/>
                <w:sz w:val="24"/>
                <w:szCs w:val="24"/>
              </w:rPr>
            </w:pPr>
            <w:r>
              <w:rPr>
                <w:rFonts w:ascii="Times New Roman" w:hAnsi="Times New Roman"/>
                <w:b/>
                <w:sz w:val="24"/>
                <w:szCs w:val="24"/>
              </w:rPr>
              <w:t>4. Riduzione dei tempi dei procedimenti</w:t>
            </w:r>
            <w:r>
              <w:rPr>
                <w:rFonts w:ascii="Times New Roman" w:hAnsi="Times New Roman"/>
                <w:sz w:val="24"/>
                <w:szCs w:val="24"/>
              </w:rPr>
              <w:t xml:space="preserve"> e </w:t>
            </w:r>
            <w:r>
              <w:rPr>
                <w:rFonts w:ascii="Times New Roman" w:hAnsi="Times New Roman"/>
                <w:b/>
                <w:sz w:val="24"/>
                <w:szCs w:val="24"/>
              </w:rPr>
              <w:t>dei costi della regolazione</w:t>
            </w:r>
            <w:r>
              <w:rPr>
                <w:rFonts w:ascii="Times New Roman" w:hAnsi="Times New Roman"/>
                <w:sz w:val="24"/>
                <w:szCs w:val="24"/>
              </w:rPr>
              <w:t>, compresi quelli amministrativi, con particolare riferimento a quelli riconducibili alle iniziative imprenditoriali;</w:t>
            </w:r>
          </w:p>
          <w:p>
            <w:pPr>
              <w:pStyle w:val="Normal"/>
              <w:widowControl w:val="false"/>
              <w:spacing w:before="0" w:after="160"/>
              <w:rPr>
                <w:sz w:val="24"/>
                <w:szCs w:val="24"/>
              </w:rPr>
            </w:pPr>
            <w:r>
              <w:rPr>
                <w:sz w:val="24"/>
                <w:szCs w:val="24"/>
              </w:rPr>
            </w:r>
          </w:p>
        </w:tc>
        <w:tc>
          <w:tcPr>
            <w:tcW w:w="307" w:type="dxa"/>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spacing w:before="0" w:after="160"/>
              <w:rPr>
                <w:sz w:val="24"/>
                <w:szCs w:val="24"/>
              </w:rPr>
            </w:pPr>
            <w:r>
              <w:rPr>
                <w:sz w:val="24"/>
                <w:szCs w:val="24"/>
              </w:rPr>
            </w:r>
          </w:p>
        </w:tc>
        <w:tc>
          <w:tcPr>
            <w:tcW w:w="6675" w:type="dxa"/>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rPr/>
            </w:pPr>
            <w:r>
              <w:rPr/>
              <w:t>Con tale intervento si pensa di intervenire per migliorare la:</w:t>
            </w:r>
          </w:p>
          <w:p>
            <w:pPr>
              <w:pStyle w:val="Normal"/>
              <w:widowControl w:val="false"/>
              <w:rPr/>
            </w:pPr>
            <w:r>
              <w:rPr/>
              <w:t>1. semplificazione operativa dei servizi;</w:t>
            </w:r>
          </w:p>
          <w:p>
            <w:pPr>
              <w:pStyle w:val="Normal"/>
              <w:widowControl w:val="false"/>
              <w:rPr/>
            </w:pPr>
            <w:r>
              <w:rPr/>
              <w:t>2. trasparenza dei processi e delle informazioni ad essi inerenti;</w:t>
            </w:r>
          </w:p>
          <w:p>
            <w:pPr>
              <w:pStyle w:val="Normal"/>
              <w:widowControl w:val="false"/>
              <w:rPr/>
            </w:pPr>
            <w:r>
              <w:rPr/>
              <w:t>3. multicanalità intesa come fruibilità dei servizi;</w:t>
            </w:r>
          </w:p>
          <w:p>
            <w:pPr>
              <w:pStyle w:val="Normal"/>
              <w:widowControl w:val="false"/>
              <w:rPr/>
            </w:pPr>
            <w:r>
              <w:rPr/>
              <w:t>4. tracciamento dell’iter della pratica.</w:t>
            </w:r>
          </w:p>
          <w:p>
            <w:pPr>
              <w:pStyle w:val="Normal"/>
              <w:widowControl w:val="false"/>
              <w:rPr/>
            </w:pPr>
            <w:r>
              <w:rPr/>
              <w:t>Questi sono interventi che, in base alle nuove Linee Guida per i servizi web della PA, consentono di rispettare compiutamente la nuova definizione di sito web istituzionale del Comune.</w:t>
            </w:r>
          </w:p>
          <w:p>
            <w:pPr>
              <w:pStyle w:val="Normal"/>
              <w:widowControl w:val="false"/>
              <w:rPr/>
            </w:pPr>
            <w:r>
              <w:rPr/>
              <w:t xml:space="preserve"> </w:t>
            </w:r>
            <w:r>
              <w:rPr/>
              <w:t>L’Ente può fornire al cittadino un cruscotto unico con il quale attivare nuove istanze e monitorare lo stato di avanzamento di tutte le pratiche in corso, aperte direttamente dall’interessato.</w:t>
            </w:r>
          </w:p>
          <w:p>
            <w:pPr>
              <w:pStyle w:val="Normal"/>
              <w:widowControl w:val="false"/>
              <w:spacing w:before="0" w:after="160"/>
              <w:rPr/>
            </w:pPr>
            <w:r>
              <w:rPr/>
            </w:r>
          </w:p>
        </w:tc>
        <w:tc>
          <w:tcPr>
            <w:tcW w:w="3681" w:type="dxa"/>
            <w:gridSpan w:val="2"/>
            <w:tcBorders>
              <w:top w:val="single" w:sz="8" w:space="0" w:color="FFFFFF"/>
              <w:left w:val="single" w:sz="8" w:space="0" w:color="FFFFFF"/>
              <w:bottom w:val="single" w:sz="8" w:space="0" w:color="FFFFFF"/>
              <w:right w:val="single" w:sz="8" w:space="0" w:color="FFFFFF"/>
            </w:tcBorders>
            <w:shd w:color="auto" w:fill="EEF4E8" w:val="clear"/>
          </w:tcPr>
          <w:p>
            <w:pPr>
              <w:pStyle w:val="Normal"/>
              <w:widowControl w:val="false"/>
              <w:rPr>
                <w:rFonts w:ascii="MS Gothic" w:hAnsi="MS Gothic" w:eastAsia="MS Gothic"/>
              </w:rPr>
            </w:pPr>
            <w:sdt>
              <w:sdtPr>
                <w14:checkbox>
                  <w14:checked w:val="1"/>
                  <w14:checkedState w:val="2612"/>
                  <w14:uncheckedState w:val="2610"/>
                </w14:checkbox>
              </w:sdtPr>
              <w:sdtContent>
                <w:r>
                  <w:rPr>
                    <w:rFonts w:eastAsia="MS Gothic" w:ascii="MS Gothic" w:hAnsi="MS Gothic"/>
                  </w:rPr>
                  <w:t>☐</w:t>
                </w:r>
              </w:sdtContent>
            </w:sdt>
            <w:r>
              <w:rPr>
                <w:rFonts w:eastAsia="MS Gothic" w:ascii="MS Gothic" w:hAnsi="MS Gothic"/>
              </w:rPr>
              <w:t>__________________________</w:t>
            </w:r>
          </w:p>
          <w:p>
            <w:pPr>
              <w:pStyle w:val="Normal"/>
              <w:widowControl w:val="false"/>
              <w:spacing w:before="0" w:after="160"/>
              <w:rPr/>
            </w:pPr>
            <w:r>
              <w:rPr/>
              <w:t>____________________________</w:t>
            </w:r>
          </w:p>
        </w:tc>
      </w:tr>
      <w:tr>
        <w:trPr>
          <w:trHeight w:val="1084" w:hRule="atLeast"/>
        </w:trPr>
        <w:tc>
          <w:tcPr>
            <w:tcW w:w="5223" w:type="dxa"/>
            <w:tcBorders>
              <w:top w:val="single" w:sz="8" w:space="0" w:color="FFFFFF"/>
              <w:left w:val="single" w:sz="8" w:space="0" w:color="FFFFFF"/>
              <w:bottom w:val="single" w:sz="8" w:space="0" w:color="FFFFFF"/>
              <w:right w:val="single" w:sz="8" w:space="0" w:color="FFFFFF"/>
            </w:tcBorders>
            <w:shd w:color="auto" w:fill="DBE9CD" w:val="clear"/>
          </w:tcPr>
          <w:p>
            <w:pPr>
              <w:pStyle w:val="ListParagraph"/>
              <w:widowControl w:val="false"/>
              <w:numPr>
                <w:ilvl w:val="0"/>
                <w:numId w:val="1"/>
              </w:numPr>
              <w:jc w:val="both"/>
              <w:rPr>
                <w:rFonts w:ascii="Times New Roman" w:hAnsi="Times New Roman"/>
                <w:sz w:val="24"/>
                <w:szCs w:val="24"/>
              </w:rPr>
            </w:pPr>
            <w:r>
              <w:rPr>
                <w:rFonts w:cs="Calibri" w:cstheme="minorHAnsi"/>
                <w:b/>
                <w:bCs/>
                <w:sz w:val="24"/>
                <w:szCs w:val="24"/>
              </w:rPr>
              <w:t>5</w:t>
            </w:r>
            <w:r>
              <w:rPr>
                <w:rFonts w:ascii="Times New Roman" w:hAnsi="Times New Roman"/>
                <w:sz w:val="24"/>
                <w:szCs w:val="24"/>
              </w:rPr>
              <w:t xml:space="preserve"> Sviluppo di modelli di gestione delle politiche territoriali per il miglioramento dell’efficienza organizzativa e dei processi amministrativi, anche attraverso </w:t>
            </w:r>
            <w:r>
              <w:rPr>
                <w:rFonts w:ascii="Times New Roman" w:hAnsi="Times New Roman"/>
                <w:b/>
                <w:sz w:val="24"/>
                <w:szCs w:val="24"/>
              </w:rPr>
              <w:t xml:space="preserve">forme efficienti di gestione associata di servizi locali, </w:t>
            </w:r>
            <w:r>
              <w:rPr>
                <w:rFonts w:ascii="Times New Roman" w:hAnsi="Times New Roman"/>
                <w:sz w:val="24"/>
                <w:szCs w:val="24"/>
              </w:rPr>
              <w:t xml:space="preserve">di gestione delle risorse provenienti dalla </w:t>
            </w:r>
            <w:r>
              <w:rPr>
                <w:rFonts w:ascii="Times New Roman" w:hAnsi="Times New Roman"/>
                <w:b/>
                <w:sz w:val="24"/>
                <w:szCs w:val="24"/>
              </w:rPr>
              <w:t>programmazione europea</w:t>
            </w:r>
            <w:r>
              <w:rPr>
                <w:rFonts w:ascii="Times New Roman" w:hAnsi="Times New Roman"/>
                <w:sz w:val="24"/>
                <w:szCs w:val="24"/>
              </w:rPr>
              <w:t xml:space="preserve">, di programmazione e gestione di piani e modalità di </w:t>
            </w:r>
            <w:r>
              <w:rPr>
                <w:rFonts w:ascii="Times New Roman" w:hAnsi="Times New Roman"/>
                <w:b/>
                <w:sz w:val="24"/>
                <w:szCs w:val="24"/>
              </w:rPr>
              <w:t>reclutamento</w:t>
            </w:r>
            <w:r>
              <w:rPr>
                <w:rFonts w:ascii="Times New Roman" w:hAnsi="Times New Roman"/>
                <w:sz w:val="24"/>
                <w:szCs w:val="24"/>
              </w:rPr>
              <w:t xml:space="preserve"> del personale.</w:t>
            </w:r>
          </w:p>
          <w:p>
            <w:pPr>
              <w:pStyle w:val="Normal"/>
              <w:widowControl w:val="false"/>
              <w:spacing w:before="0" w:after="160"/>
              <w:rPr>
                <w:rFonts w:cs="Calibri" w:cstheme="minorHAnsi"/>
                <w:sz w:val="24"/>
                <w:szCs w:val="24"/>
              </w:rPr>
            </w:pPr>
            <w:r>
              <w:rPr>
                <w:rFonts w:cs="Calibri" w:cstheme="minorHAnsi"/>
                <w:sz w:val="24"/>
                <w:szCs w:val="24"/>
              </w:rPr>
            </w:r>
          </w:p>
        </w:tc>
        <w:tc>
          <w:tcPr>
            <w:tcW w:w="307" w:type="dxa"/>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spacing w:before="0" w:after="160"/>
              <w:rPr>
                <w:sz w:val="24"/>
                <w:szCs w:val="24"/>
              </w:rPr>
            </w:pPr>
            <w:r>
              <w:rPr>
                <w:sz w:val="24"/>
                <w:szCs w:val="24"/>
              </w:rPr>
            </w:r>
          </w:p>
        </w:tc>
        <w:tc>
          <w:tcPr>
            <w:tcW w:w="6675" w:type="dxa"/>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rPr/>
            </w:pPr>
            <w:r>
              <w:rPr/>
              <w:t>Per quanto riguarda la programmazione europea, si pensa di fornire   supporto  gestionali, organizzativi e tecnici agli Enti nella partecipazione di bandi e finanziamenti.</w:t>
            </w:r>
          </w:p>
          <w:p>
            <w:pPr>
              <w:pStyle w:val="Normal"/>
              <w:widowControl w:val="false"/>
              <w:rPr/>
            </w:pPr>
            <w:r>
              <w:rPr/>
              <w:t>A tale scopo si parla di:</w:t>
            </w:r>
          </w:p>
          <w:p>
            <w:pPr>
              <w:pStyle w:val="Normal"/>
              <w:widowControl w:val="false"/>
              <w:rPr/>
            </w:pPr>
            <w:r>
              <w:rPr/>
              <w:t xml:space="preserve">• </w:t>
            </w:r>
            <w:r>
              <w:rPr/>
              <w:t>raccolta del fabbisogno degli Enti;</w:t>
            </w:r>
          </w:p>
          <w:p>
            <w:pPr>
              <w:pStyle w:val="Normal"/>
              <w:widowControl w:val="false"/>
              <w:rPr/>
            </w:pPr>
            <w:r>
              <w:rPr/>
              <w:t xml:space="preserve">• </w:t>
            </w:r>
            <w:r>
              <w:rPr/>
              <w:t>inquadramento delle proposte progettuali, anche in forza del coordinamento dei diversi fabbisogni emersi;</w:t>
            </w:r>
          </w:p>
          <w:p>
            <w:pPr>
              <w:pStyle w:val="Normal"/>
              <w:widowControl w:val="false"/>
              <w:rPr/>
            </w:pPr>
            <w:r>
              <w:rPr/>
              <w:t xml:space="preserve"> • </w:t>
            </w:r>
            <w:r>
              <w:rPr/>
              <w:t>presentazione della domanda progettuale;</w:t>
            </w:r>
          </w:p>
          <w:p>
            <w:pPr>
              <w:pStyle w:val="Normal"/>
              <w:widowControl w:val="false"/>
              <w:rPr/>
            </w:pPr>
            <w:r>
              <w:rPr/>
              <w:t xml:space="preserve"> • </w:t>
            </w:r>
            <w:r>
              <w:rPr/>
              <w:t>monitoraggio degli interventi.</w:t>
            </w:r>
          </w:p>
          <w:p>
            <w:pPr>
              <w:pStyle w:val="Normal"/>
              <w:widowControl w:val="false"/>
              <w:rPr/>
            </w:pPr>
            <w:r>
              <w:rPr/>
              <w:t>Con riferimento invece alla gestione associata dei servizi, si ritiene di particolare coerenza il seguente intervento già da tempo realizzato dalla Provincia di Lecce attraverso l’Agenzia di Assistenza Tecnica degli Enti Locali attraverso:</w:t>
            </w:r>
          </w:p>
          <w:p>
            <w:pPr>
              <w:pStyle w:val="ListParagraph"/>
              <w:widowControl w:val="false"/>
              <w:numPr>
                <w:ilvl w:val="0"/>
                <w:numId w:val="2"/>
              </w:numPr>
              <w:rPr>
                <w:sz w:val="24"/>
                <w:szCs w:val="24"/>
              </w:rPr>
            </w:pPr>
            <w:r>
              <w:rPr/>
              <w:t>Supporto consulenziale e assistenza su specifiche questioni o quesiti.</w:t>
            </w:r>
          </w:p>
          <w:p>
            <w:pPr>
              <w:pStyle w:val="ListParagraph"/>
              <w:widowControl w:val="false"/>
              <w:numPr>
                <w:ilvl w:val="0"/>
                <w:numId w:val="2"/>
              </w:numPr>
              <w:rPr>
                <w:sz w:val="24"/>
                <w:szCs w:val="24"/>
              </w:rPr>
            </w:pPr>
            <w:r>
              <w:rPr/>
              <w:t>Cicli di incontri formativi, in cui sarà possibile scambiare informazioni e buone pratiche tra le amministrazioni partecipanti.</w:t>
            </w:r>
          </w:p>
          <w:p>
            <w:pPr>
              <w:pStyle w:val="Normal"/>
              <w:widowControl w:val="false"/>
              <w:spacing w:before="0" w:after="160"/>
              <w:ind w:left="360" w:hanging="0"/>
              <w:rPr>
                <w:sz w:val="24"/>
                <w:szCs w:val="24"/>
              </w:rPr>
            </w:pPr>
            <w:r>
              <w:rPr>
                <w:sz w:val="24"/>
                <w:szCs w:val="24"/>
              </w:rPr>
            </w:r>
          </w:p>
        </w:tc>
        <w:tc>
          <w:tcPr>
            <w:tcW w:w="3681" w:type="dxa"/>
            <w:gridSpan w:val="2"/>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rPr>
                <w:rFonts w:ascii="MS Gothic" w:hAnsi="MS Gothic" w:eastAsia="MS Gothic"/>
              </w:rPr>
            </w:pPr>
            <w:sdt>
              <w:sdtPr>
                <w14:checkbox>
                  <w14:checked w:val="1"/>
                  <w14:checkedState w:val="2612"/>
                  <w14:uncheckedState w:val="2610"/>
                </w14:checkbox>
              </w:sdtPr>
              <w:sdtContent>
                <w:r>
                  <w:rPr>
                    <w:rFonts w:eastAsia="MS Gothic" w:ascii="MS Gothic" w:hAnsi="MS Gothic"/>
                  </w:rPr>
                  <w:t>☐</w:t>
                </w:r>
              </w:sdtContent>
            </w:sdt>
            <w:r>
              <w:rPr>
                <w:rFonts w:eastAsia="MS Gothic" w:ascii="MS Gothic" w:hAnsi="MS Gothic"/>
              </w:rPr>
              <w:t>__________________________</w:t>
            </w:r>
          </w:p>
          <w:p>
            <w:pPr>
              <w:pStyle w:val="Normal"/>
              <w:widowControl w:val="false"/>
              <w:rPr/>
            </w:pPr>
            <w:r>
              <w:rPr/>
              <w:t>____________________________</w:t>
            </w:r>
          </w:p>
          <w:p>
            <w:pPr>
              <w:pStyle w:val="Normal"/>
              <w:widowControl w:val="false"/>
              <w:spacing w:before="0" w:after="160"/>
              <w:rPr/>
            </w:pPr>
            <w:r>
              <w:rPr/>
              <w:t>____________________________</w:t>
            </w:r>
          </w:p>
        </w:tc>
      </w:tr>
      <w:tr>
        <w:trPr>
          <w:trHeight w:val="78" w:hRule="atLeast"/>
        </w:trPr>
        <w:tc>
          <w:tcPr>
            <w:tcW w:w="15872" w:type="dxa"/>
            <w:gridSpan w:val="4"/>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spacing w:before="0" w:after="160"/>
              <w:rPr>
                <w:rFonts w:eastAsia="MS Gothic" w:cs="Calibri" w:cstheme="minorHAnsi"/>
                <w:sz w:val="24"/>
                <w:szCs w:val="24"/>
              </w:rPr>
            </w:pPr>
            <w:r>
              <w:rPr>
                <w:rFonts w:eastAsia="MS Gothic" w:cs="Calibri" w:cstheme="minorHAnsi"/>
                <w:sz w:val="24"/>
                <w:szCs w:val="24"/>
              </w:rPr>
            </w:r>
          </w:p>
        </w:tc>
        <w:tc>
          <w:tcPr>
            <w:tcW w:w="14" w:type="dxa"/>
            <w:tcBorders/>
          </w:tcPr>
          <w:p>
            <w:pPr>
              <w:pStyle w:val="Normal"/>
              <w:widowControl w:val="false"/>
              <w:spacing w:before="0" w:after="160"/>
              <w:rPr/>
            </w:pPr>
            <w:r>
              <w:rPr/>
            </w:r>
          </w:p>
        </w:tc>
      </w:tr>
      <w:tr>
        <w:trPr>
          <w:trHeight w:val="39" w:hRule="atLeast"/>
        </w:trPr>
        <w:tc>
          <w:tcPr>
            <w:tcW w:w="15872" w:type="dxa"/>
            <w:gridSpan w:val="4"/>
            <w:tcBorders>
              <w:top w:val="single" w:sz="8" w:space="0" w:color="FFFFFF"/>
              <w:left w:val="single" w:sz="8" w:space="0" w:color="FFFFFF"/>
              <w:bottom w:val="single" w:sz="8" w:space="0" w:color="FFFFFF"/>
              <w:right w:val="single" w:sz="8" w:space="0" w:color="FFFFFF"/>
            </w:tcBorders>
            <w:shd w:color="auto" w:fill="DBE9CD" w:val="clear"/>
          </w:tcPr>
          <w:p>
            <w:pPr>
              <w:pStyle w:val="Normal"/>
              <w:widowControl w:val="false"/>
              <w:spacing w:before="0" w:after="160"/>
              <w:rPr>
                <w:rFonts w:eastAsia="MS Gothic" w:cs="Calibri" w:cstheme="minorHAnsi"/>
                <w:sz w:val="24"/>
                <w:szCs w:val="24"/>
              </w:rPr>
            </w:pPr>
            <w:sdt>
              <w:sdtPr>
                <w14:checkbox>
                  <w14:checked w:val="1"/>
                  <w14:checkedState w:val="2612"/>
                  <w14:uncheckedState w:val="2610"/>
                </w14:checkbox>
              </w:sdtPr>
              <w:sdtContent>
                <w:r>
                  <w:rPr>
                    <w:rFonts w:eastAsia="MS Gothic" w:cs="Calibri" w:ascii="MS Gothic" w:hAnsi="MS Gothic" w:cstheme="minorHAnsi"/>
                    <w:sz w:val="24"/>
                    <w:szCs w:val="24"/>
                  </w:rPr>
                  <w:t>☐</w:t>
                </w:r>
              </w:sdtContent>
            </w:sdt>
            <w:r>
              <w:rPr>
                <w:rFonts w:eastAsia="MS Gothic" w:cs="Calibri" w:cstheme="minorHAnsi"/>
                <w:sz w:val="24"/>
                <w:szCs w:val="24"/>
              </w:rPr>
              <w:t xml:space="preserve"> </w:t>
            </w:r>
            <w:r>
              <w:rPr>
                <w:rFonts w:eastAsia="MS Gothic" w:cs="Calibri" w:cstheme="minorHAnsi"/>
                <w:b/>
                <w:bCs/>
                <w:sz w:val="24"/>
                <w:szCs w:val="24"/>
              </w:rPr>
              <w:t>L’Ente si rende disponibile ad effettuare domanda in forma aggregata</w:t>
            </w:r>
          </w:p>
        </w:tc>
        <w:tc>
          <w:tcPr>
            <w:tcW w:w="14" w:type="dxa"/>
            <w:tcBorders/>
          </w:tcPr>
          <w:p>
            <w:pPr>
              <w:pStyle w:val="Normal"/>
              <w:widowControl w:val="false"/>
              <w:spacing w:before="0" w:after="160"/>
              <w:rPr/>
            </w:pPr>
            <w:r>
              <w:rPr/>
            </w:r>
          </w:p>
        </w:tc>
      </w:tr>
    </w:tbl>
    <w:p>
      <w:pPr>
        <w:pStyle w:val="Normal"/>
        <w:widowControl/>
        <w:bidi w:val="0"/>
        <w:spacing w:lineRule="auto" w:line="259" w:before="0" w:after="160"/>
        <w:jc w:val="left"/>
        <w:rPr/>
      </w:pPr>
      <w:r>
        <w:rPr/>
      </w:r>
    </w:p>
    <w:sectPr>
      <w:type w:val="nextPage"/>
      <w:pgSz w:orient="landscape" w:w="16838" w:h="11906"/>
      <w:pgMar w:left="1134" w:right="1417"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74b0b"/>
    <w:rPr/>
  </w:style>
  <w:style w:type="character" w:styleId="PidipaginaCarattere" w:customStyle="1">
    <w:name w:val="Piè di pagina Carattere"/>
    <w:basedOn w:val="DefaultParagraphFont"/>
    <w:link w:val="Pidipagina"/>
    <w:uiPriority w:val="99"/>
    <w:qFormat/>
    <w:rsid w:val="00f74b0b"/>
    <w:rPr/>
  </w:style>
  <w:style w:type="character" w:styleId="TestofumettoCarattere" w:customStyle="1">
    <w:name w:val="Testo fumetto Carattere"/>
    <w:basedOn w:val="DefaultParagraphFont"/>
    <w:link w:val="Testofumetto"/>
    <w:uiPriority w:val="99"/>
    <w:semiHidden/>
    <w:qFormat/>
    <w:rsid w:val="008d04dc"/>
    <w:rPr>
      <w:rFonts w:ascii="Tahoma" w:hAnsi="Tahoma" w:cs="Tahoma"/>
      <w:sz w:val="16"/>
      <w:szCs w:val="16"/>
    </w:rPr>
  </w:style>
  <w:style w:type="character" w:styleId="ParagrafoelencoCarattere" w:customStyle="1">
    <w:name w:val="Paragrafo elenco Carattere"/>
    <w:link w:val="Paragrafoelenco"/>
    <w:uiPriority w:val="34"/>
    <w:qFormat/>
    <w:locked/>
    <w:rsid w:val="008d04dc"/>
    <w:rPr>
      <w:rFonts w:ascii="Calibri" w:hAnsi="Calibri" w:eastAsia="Calibri" w:cs="Times New Roman"/>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f74b0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74b0b"/>
    <w:pPr>
      <w:tabs>
        <w:tab w:val="clear" w:pos="708"/>
        <w:tab w:val="center" w:pos="4819" w:leader="none"/>
        <w:tab w:val="right" w:pos="9638" w:leader="none"/>
      </w:tabs>
      <w:spacing w:lineRule="auto" w:line="240" w:before="0" w:after="0"/>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BalloonText">
    <w:name w:val="Balloon Text"/>
    <w:basedOn w:val="Normal"/>
    <w:link w:val="TestofumettoCarattere"/>
    <w:uiPriority w:val="99"/>
    <w:semiHidden/>
    <w:unhideWhenUsed/>
    <w:qFormat/>
    <w:rsid w:val="008d04dc"/>
    <w:pPr>
      <w:spacing w:lineRule="auto" w:line="240" w:before="0" w:after="0"/>
    </w:pPr>
    <w:rPr>
      <w:rFonts w:ascii="Tahoma" w:hAnsi="Tahoma" w:cs="Tahoma"/>
      <w:sz w:val="16"/>
      <w:szCs w:val="16"/>
    </w:rPr>
  </w:style>
  <w:style w:type="paragraph" w:styleId="ListParagraph">
    <w:name w:val="List Paragraph"/>
    <w:basedOn w:val="Normal"/>
    <w:link w:val="ParagrafoelencoCarattere"/>
    <w:uiPriority w:val="34"/>
    <w:qFormat/>
    <w:rsid w:val="008d04dc"/>
    <w:pPr>
      <w:spacing w:lineRule="auto" w:line="276" w:before="0" w:after="200"/>
      <w:ind w:left="720" w:hanging="0"/>
      <w:contextualSpacing/>
    </w:pPr>
    <w:rPr>
      <w:rFonts w:ascii="Calibri" w:hAnsi="Calibri" w:eastAsia="Calibri"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LibreOffice/7.0.0.3$Windows_X86_64 LibreOffice_project/8061b3e9204bef6b321a21033174034a5e2ea88e</Application>
  <Pages>4</Pages>
  <Words>766</Words>
  <Characters>5087</Characters>
  <CharactersWithSpaces>5807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2020-11-26T15:13:00Z</dcterms:created>
  <dc:creator>Marco Albertini</dc:creator>
  <dc:description/>
  <dc:language>it-IT</dc:language>
  <cp:lastModifiedBy/>
  <dcterms:modified xsi:type="dcterms:W3CDTF">2021-02-24T18:44:56Z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