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Società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“Alba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Service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S.r.l.”.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dell’Amministratore Unico</w:t>
      </w:r>
      <w:r>
        <w:rPr>
          <w:b/>
          <w:spacing w:val="-2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 xml:space="preserve">la propria candidatura alla designazione di Amministratore Unico della società </w:t>
      </w:r>
      <w:r>
        <w:rPr>
          <w:b w:val="false"/>
          <w:bCs w:val="false"/>
          <w:i w:val="false"/>
          <w:iCs w:val="false"/>
          <w:sz w:val="20"/>
          <w:szCs w:val="20"/>
        </w:rPr>
        <w:t>Alba Service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  <w:shd w:fill="auto" w:val="clear"/>
        </w:rPr>
        <w:t>2024/2026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5"/>
        <w:jc w:val="both"/>
        <w:rPr/>
      </w:pPr>
      <w:r>
        <w:rPr>
          <w:sz w:val="20"/>
          <w:szCs w:val="20"/>
          <w:shd w:fill="auto" w:val="clear"/>
        </w:rPr>
        <w:t>di possedere adeguata professionalità intesa nel senso del possesso del titolo di laurea in materie giuridiche, tecniche, scientifiche o economiche validamente riconosciute in Italia o dall’aver ricoperto la carica di Amministratore in altre società di diritto italiano per almeno un quinquennio, come dall’allegato curriculum vitae;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/>
      </w:pPr>
      <w:r>
        <w:rPr>
          <w:sz w:val="20"/>
          <w:szCs w:val="20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di cui all’</w:t>
      </w:r>
      <w:r>
        <w:rPr>
          <w:b/>
          <w:i/>
          <w:sz w:val="20"/>
          <w:szCs w:val="20"/>
        </w:rPr>
        <w:t xml:space="preserve">art. 10 del D.Lgs n. 235/2012 </w:t>
      </w:r>
      <w:r>
        <w:rPr>
          <w:sz w:val="20"/>
          <w:szCs w:val="20"/>
        </w:rPr>
        <w:t xml:space="preserve">e agli </w:t>
      </w:r>
      <w:r>
        <w:rPr>
          <w:b/>
          <w:i/>
          <w:sz w:val="20"/>
          <w:szCs w:val="20"/>
        </w:rPr>
        <w:t>artt. 60 e 248, c. 5, del D.Lgs. n. 267/2000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/>
      </w:pPr>
      <w:r>
        <w:rPr>
          <w:sz w:val="20"/>
          <w:szCs w:val="20"/>
        </w:rPr>
        <w:t xml:space="preserve">di non trovarsi nelle situazioni di inconferibilità di cui al </w:t>
      </w:r>
      <w:r>
        <w:rPr>
          <w:b/>
          <w:bCs/>
          <w:i/>
          <w:iCs/>
          <w:sz w:val="20"/>
          <w:szCs w:val="20"/>
          <w:u w:val="none"/>
        </w:rPr>
        <w:t>D.Lgs n. 39/2013</w:t>
      </w:r>
      <w:r>
        <w:rPr>
          <w:b/>
          <w:bCs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/>
      </w:pPr>
      <w:r>
        <w:rPr>
          <w:b w:val="false"/>
          <w:bCs w:val="false"/>
          <w:sz w:val="20"/>
          <w:szCs w:val="20"/>
        </w:rPr>
        <w:t>di non trovarsi qualsiasi forma, anche indiretta, di conflitto di interessi con gli scopi e le finalità della società “Alba Service S.r.l”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aver già svolto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medesimo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incarico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 due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mandati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consecutivi;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1" w:leader="none"/>
        </w:tabs>
        <w:spacing w:lineRule="auto" w:line="240"/>
        <w:ind w:hanging="360" w:left="737" w:right="0"/>
        <w:jc w:val="both"/>
        <w:rPr/>
      </w:pPr>
      <w:r>
        <w:rPr>
          <w:spacing w:val="-2"/>
          <w:sz w:val="20"/>
          <w:szCs w:val="20"/>
        </w:rPr>
        <w:t>di non aver ricoperto incarichi amministrativi in enti, istituzioni, aziende pubbliche e società partecipate e aver chiuso in perdita tre esercizi consecutivi, a meno che la perdita risulti conforme alla programmazione gestoria regolarmente approvata;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jc w:val="both"/>
        <w:rPr/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73" w:leader="none"/>
        </w:tabs>
        <w:ind w:hanging="0" w:left="4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/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ind w:right="2088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3175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LibreOffice/7.6.1.2$Windows_X86_64 LibreOffice_project/f5defcebd022c5bc36bbb79be232cb6926d8f674</Application>
  <AppVersion>15.0000</AppVersion>
  <Pages>1</Pages>
  <Words>344</Words>
  <Characters>1969</Characters>
  <CharactersWithSpaces>2329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2024-06-20T13:15:44Z</cp:lastPrinted>
  <dcterms:modified xsi:type="dcterms:W3CDTF">2024-06-20T13:15:37Z</dcterms:modified>
  <cp:revision>16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